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28"/>
        <w:gridCol w:w="12332"/>
      </w:tblGrid>
      <w:tr w:rsidR="0046358E" w:rsidTr="00033416">
        <w:tc>
          <w:tcPr>
            <w:tcW w:w="2228" w:type="dxa"/>
            <w:shd w:val="clear" w:color="auto" w:fill="1F497D" w:themeFill="text2"/>
          </w:tcPr>
          <w:p w:rsidR="0046358E" w:rsidRPr="00914745" w:rsidRDefault="0046358E" w:rsidP="0046358E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TÍTULO</w:t>
            </w:r>
            <w:r w:rsidR="00473C12">
              <w:rPr>
                <w:b/>
                <w:color w:val="FFFFFF" w:themeColor="background1"/>
                <w:sz w:val="24"/>
                <w:szCs w:val="24"/>
              </w:rPr>
              <w:t xml:space="preserve"> MASTER</w:t>
            </w:r>
            <w:r w:rsidRPr="00914745">
              <w:rPr>
                <w:b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2332" w:type="dxa"/>
            <w:shd w:val="clear" w:color="auto" w:fill="FFFFFF" w:themeFill="background1"/>
          </w:tcPr>
          <w:p w:rsidR="0046358E" w:rsidRPr="00914745" w:rsidRDefault="0046358E" w:rsidP="009B73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/>
                  <w:textInput>
                    <w:maxLength w:val="100"/>
                  </w:textInput>
                </w:ffData>
              </w:fldChar>
            </w:r>
            <w:bookmarkStart w:id="0" w:name="Texto1"/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bookmarkStart w:id="1" w:name="_GoBack"/>
            <w:r w:rsidR="009B734C" w:rsidRPr="009B734C">
              <w:rPr>
                <w:b/>
                <w:noProof/>
                <w:sz w:val="24"/>
                <w:szCs w:val="24"/>
              </w:rPr>
              <w:t>MÁSTER EN INVESTIGACIÓN EN INGENIERÍA DE SISTEMAS Y DE LA COMPUTACIÓN</w:t>
            </w:r>
            <w:bookmarkEnd w:id="1"/>
            <w:r>
              <w:rPr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46358E" w:rsidTr="00033416">
        <w:tc>
          <w:tcPr>
            <w:tcW w:w="2228" w:type="dxa"/>
            <w:shd w:val="clear" w:color="auto" w:fill="1F497D" w:themeFill="text2"/>
          </w:tcPr>
          <w:p w:rsidR="0046358E" w:rsidRPr="00914745" w:rsidRDefault="0046358E" w:rsidP="0046358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914745">
              <w:rPr>
                <w:b/>
                <w:color w:val="FFFFFF" w:themeColor="background1"/>
                <w:sz w:val="24"/>
                <w:szCs w:val="24"/>
              </w:rPr>
              <w:t>CENTRO:</w:t>
            </w:r>
          </w:p>
        </w:tc>
        <w:tc>
          <w:tcPr>
            <w:tcW w:w="12332" w:type="dxa"/>
            <w:shd w:val="clear" w:color="auto" w:fill="FFFFFF" w:themeFill="background1"/>
          </w:tcPr>
          <w:p w:rsidR="0046358E" w:rsidRPr="00BC4E6F" w:rsidRDefault="0046358E" w:rsidP="009B734C">
            <w:pPr>
              <w:tabs>
                <w:tab w:val="center" w:pos="6129"/>
              </w:tabs>
              <w:rPr>
                <w:b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B734C">
              <w:rPr>
                <w:b/>
                <w:noProof/>
                <w:sz w:val="24"/>
                <w:szCs w:val="24"/>
              </w:rPr>
              <w:t>ESCUELA SUPERIOR DE INGENIERÍA</w:t>
            </w:r>
            <w:r>
              <w:rPr>
                <w:b/>
                <w:sz w:val="24"/>
                <w:szCs w:val="24"/>
              </w:rPr>
              <w:fldChar w:fldCharType="end"/>
            </w:r>
            <w:r w:rsidR="00096BB0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2D269A" w:rsidRDefault="002D269A" w:rsidP="002D269A">
      <w:pPr>
        <w:spacing w:after="0"/>
        <w:rPr>
          <w:sz w:val="16"/>
          <w:szCs w:val="16"/>
        </w:rPr>
      </w:pPr>
    </w:p>
    <w:p w:rsidR="00B81E91" w:rsidRPr="00B81E91" w:rsidRDefault="00B81E91" w:rsidP="002D269A">
      <w:pPr>
        <w:spacing w:after="0"/>
        <w:rPr>
          <w:sz w:val="16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951"/>
        <w:gridCol w:w="10609"/>
      </w:tblGrid>
      <w:tr w:rsidR="009E1BFC" w:rsidTr="00B81E91">
        <w:trPr>
          <w:tblHeader/>
          <w:jc w:val="center"/>
        </w:trPr>
        <w:tc>
          <w:tcPr>
            <w:tcW w:w="0" w:type="auto"/>
            <w:shd w:val="clear" w:color="auto" w:fill="1F497D" w:themeFill="text2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APARTADO DE LA MEMORIA</w:t>
            </w:r>
          </w:p>
        </w:tc>
        <w:tc>
          <w:tcPr>
            <w:tcW w:w="0" w:type="auto"/>
            <w:shd w:val="clear" w:color="auto" w:fill="1F497D" w:themeFill="text2"/>
            <w:vAlign w:val="center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BREVE DESCRIPCIÓN DE LA MODIFICACIÓN, EN SU CASO</w:t>
            </w:r>
          </w:p>
        </w:tc>
      </w:tr>
      <w:tr w:rsidR="002D269A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2D269A" w:rsidRPr="004C17BF" w:rsidRDefault="002D269A" w:rsidP="00D0470B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1. DESCRIPCIÓN DEL TÍTULO</w:t>
            </w:r>
          </w:p>
        </w:tc>
      </w:tr>
      <w:tr w:rsidR="009E1BFC" w:rsidTr="0046358E">
        <w:trPr>
          <w:trHeight w:val="267"/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1.1 Datos Básicos</w:t>
            </w:r>
            <w:r>
              <w:rPr>
                <w:sz w:val="20"/>
                <w:szCs w:val="20"/>
              </w:rPr>
              <w:t xml:space="preserve"> de la descripción del Título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46358E">
        <w:trPr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1.2 Distribución de Créditos</w:t>
            </w:r>
            <w:r>
              <w:rPr>
                <w:sz w:val="20"/>
                <w:szCs w:val="20"/>
              </w:rPr>
              <w:t xml:space="preserve"> en el Título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46358E">
        <w:trPr>
          <w:jc w:val="center"/>
        </w:trPr>
        <w:tc>
          <w:tcPr>
            <w:tcW w:w="5665" w:type="dxa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1.3 </w:t>
            </w:r>
            <w:r>
              <w:rPr>
                <w:sz w:val="20"/>
                <w:szCs w:val="20"/>
              </w:rPr>
              <w:t>Universidades y Centros en los que se imparte</w:t>
            </w:r>
          </w:p>
        </w:tc>
        <w:tc>
          <w:tcPr>
            <w:tcW w:w="8895" w:type="dxa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2. JUSTIFICACIÓN</w:t>
            </w:r>
          </w:p>
        </w:tc>
      </w:tr>
      <w:tr w:rsidR="009E1BFC" w:rsidTr="00CB1E23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Justificación, adecuación de la propuesta y procedimientos</w:t>
            </w:r>
          </w:p>
        </w:tc>
        <w:tc>
          <w:tcPr>
            <w:tcW w:w="0" w:type="auto"/>
            <w:shd w:val="clear" w:color="auto" w:fill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3. COMPETENCIAS</w:t>
            </w:r>
          </w:p>
        </w:tc>
      </w:tr>
      <w:tr w:rsidR="009E1BFC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3.1 Competencias Generales y Básicas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3.2 Competencias Transversales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3.3 Competencias Específicas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4. ACCESO Y ADMISIÓN DE ESTUDIANTES</w:t>
            </w:r>
          </w:p>
        </w:tc>
      </w:tr>
      <w:tr w:rsidR="009E1BFC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Sistema de Información previo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</w:t>
            </w:r>
            <w:r w:rsidRPr="00745647">
              <w:rPr>
                <w:sz w:val="20"/>
                <w:szCs w:val="20"/>
              </w:rPr>
              <w:t>Requisitos de Acceso y Criterios de Admisión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A</w:t>
            </w:r>
            <w:r w:rsidRPr="00745647">
              <w:rPr>
                <w:sz w:val="20"/>
                <w:szCs w:val="20"/>
              </w:rPr>
              <w:t>poyo a e</w:t>
            </w:r>
            <w:r>
              <w:rPr>
                <w:sz w:val="20"/>
                <w:szCs w:val="20"/>
              </w:rPr>
              <w:t>studiantes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 </w:t>
            </w:r>
            <w:r w:rsidRPr="00745647">
              <w:rPr>
                <w:sz w:val="20"/>
                <w:szCs w:val="20"/>
              </w:rPr>
              <w:t>Sistema de transferencia y reconocimiento de créditos.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 Complementos formativos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 xml:space="preserve">5. PLANIFICACIÓN DE LAS ENSEÑANZAS </w:t>
            </w:r>
          </w:p>
        </w:tc>
      </w:tr>
      <w:tr w:rsidR="009E1BFC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 Descripción del Plan de Estudios</w:t>
            </w:r>
          </w:p>
        </w:tc>
        <w:tc>
          <w:tcPr>
            <w:tcW w:w="0" w:type="auto"/>
          </w:tcPr>
          <w:p w:rsidR="0046358E" w:rsidRPr="00C46EC1" w:rsidRDefault="0046358E" w:rsidP="00020A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020A42">
              <w:rPr>
                <w:b/>
                <w:noProof/>
                <w:sz w:val="24"/>
                <w:szCs w:val="24"/>
              </w:rPr>
              <w:t>Se solicita c</w:t>
            </w:r>
            <w:r w:rsidR="003B3E48" w:rsidRPr="003B3E48">
              <w:rPr>
                <w:b/>
                <w:noProof/>
                <w:sz w:val="24"/>
                <w:szCs w:val="24"/>
              </w:rPr>
              <w:t xml:space="preserve">ambiar nombre de la especialidad </w:t>
            </w:r>
            <w:r w:rsidR="00020A42">
              <w:rPr>
                <w:b/>
                <w:noProof/>
                <w:sz w:val="24"/>
                <w:szCs w:val="24"/>
              </w:rPr>
              <w:t>"</w:t>
            </w:r>
            <w:r w:rsidR="003B3E48" w:rsidRPr="003B3E48">
              <w:rPr>
                <w:b/>
                <w:noProof/>
                <w:sz w:val="24"/>
                <w:szCs w:val="24"/>
              </w:rPr>
              <w:t>Investigación en Ingeniería del Software</w:t>
            </w:r>
            <w:r w:rsidR="00020A42">
              <w:rPr>
                <w:b/>
                <w:noProof/>
                <w:sz w:val="24"/>
                <w:szCs w:val="24"/>
              </w:rPr>
              <w:t>"</w:t>
            </w:r>
            <w:r w:rsidR="003B3E48" w:rsidRPr="003B3E48">
              <w:rPr>
                <w:b/>
                <w:noProof/>
                <w:sz w:val="24"/>
                <w:szCs w:val="24"/>
              </w:rPr>
              <w:t xml:space="preserve"> por </w:t>
            </w:r>
            <w:r w:rsidR="00020A42">
              <w:rPr>
                <w:b/>
                <w:noProof/>
                <w:sz w:val="24"/>
                <w:szCs w:val="24"/>
              </w:rPr>
              <w:t>"</w:t>
            </w:r>
            <w:r w:rsidR="003B3E48" w:rsidRPr="003B3E48">
              <w:rPr>
                <w:b/>
                <w:noProof/>
                <w:sz w:val="24"/>
                <w:szCs w:val="24"/>
              </w:rPr>
              <w:t>Transformación Digital: Internet de las Cosas y Big Data</w:t>
            </w:r>
            <w:r w:rsidR="00020A42">
              <w:rPr>
                <w:b/>
                <w:noProof/>
                <w:sz w:val="24"/>
                <w:szCs w:val="24"/>
              </w:rPr>
              <w:t>"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020A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020A42">
              <w:rPr>
                <w:b/>
                <w:noProof/>
                <w:sz w:val="24"/>
                <w:szCs w:val="24"/>
              </w:rPr>
              <w:t> </w:t>
            </w:r>
            <w:r w:rsidR="00020A42">
              <w:rPr>
                <w:b/>
                <w:noProof/>
                <w:sz w:val="24"/>
                <w:szCs w:val="24"/>
              </w:rPr>
              <w:t> </w:t>
            </w:r>
            <w:r w:rsidR="00020A42">
              <w:rPr>
                <w:b/>
                <w:noProof/>
                <w:sz w:val="24"/>
                <w:szCs w:val="24"/>
              </w:rPr>
              <w:t> </w:t>
            </w:r>
            <w:r w:rsidR="00020A42">
              <w:rPr>
                <w:b/>
                <w:noProof/>
                <w:sz w:val="24"/>
                <w:szCs w:val="24"/>
              </w:rPr>
              <w:t> </w:t>
            </w:r>
            <w:r w:rsidR="00020A42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6358E" w:rsidRPr="00916AF6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AF7C00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Actividades Formativas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jc w:val="center"/>
        </w:trPr>
        <w:tc>
          <w:tcPr>
            <w:tcW w:w="0" w:type="auto"/>
          </w:tcPr>
          <w:p w:rsidR="0046358E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Metodologías Docentes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jc w:val="center"/>
        </w:trPr>
        <w:tc>
          <w:tcPr>
            <w:tcW w:w="0" w:type="auto"/>
          </w:tcPr>
          <w:p w:rsidR="0046358E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 Sistemas de Evaluación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 Módulos, materias y/o asignaturas</w:t>
            </w:r>
          </w:p>
        </w:tc>
        <w:tc>
          <w:tcPr>
            <w:tcW w:w="0" w:type="auto"/>
            <w:shd w:val="clear" w:color="auto" w:fill="auto"/>
          </w:tcPr>
          <w:p w:rsidR="00082FDB" w:rsidRPr="00082FDB" w:rsidRDefault="0046358E" w:rsidP="00082FDB">
            <w:pPr>
              <w:jc w:val="both"/>
              <w:rPr>
                <w:b/>
                <w:noProof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082FDB" w:rsidRPr="00082FDB">
              <w:rPr>
                <w:b/>
                <w:noProof/>
                <w:sz w:val="24"/>
                <w:szCs w:val="24"/>
              </w:rPr>
              <w:t>Cambiar el nombre y parte del contenido de la asignatura de:</w:t>
            </w:r>
          </w:p>
          <w:p w:rsidR="00082FDB" w:rsidRPr="00082FDB" w:rsidRDefault="00082FDB" w:rsidP="00082FDB">
            <w:pPr>
              <w:jc w:val="both"/>
              <w:rPr>
                <w:b/>
                <w:noProof/>
                <w:sz w:val="24"/>
                <w:szCs w:val="24"/>
              </w:rPr>
            </w:pPr>
            <w:r w:rsidRPr="00082FDB">
              <w:rPr>
                <w:b/>
                <w:noProof/>
                <w:sz w:val="24"/>
                <w:szCs w:val="24"/>
              </w:rPr>
              <w:t>Adaptabilidad del Software (3cr) (2do Sem)</w:t>
            </w:r>
            <w:r w:rsidRPr="00082FDB">
              <w:rPr>
                <w:b/>
                <w:noProof/>
                <w:sz w:val="24"/>
                <w:szCs w:val="24"/>
              </w:rPr>
              <w:tab/>
              <w:t>por</w:t>
            </w:r>
            <w:r w:rsidRPr="00082FDB">
              <w:rPr>
                <w:b/>
                <w:noProof/>
                <w:sz w:val="24"/>
                <w:szCs w:val="24"/>
              </w:rPr>
              <w:tab/>
              <w:t>Internet de las Cosas (3 ECTS) (1er Sem)</w:t>
            </w:r>
          </w:p>
          <w:p w:rsidR="00082FDB" w:rsidRPr="00082FDB" w:rsidRDefault="00082FDB" w:rsidP="00082FDB">
            <w:pPr>
              <w:jc w:val="both"/>
              <w:rPr>
                <w:b/>
                <w:noProof/>
                <w:sz w:val="24"/>
                <w:szCs w:val="24"/>
              </w:rPr>
            </w:pPr>
            <w:r w:rsidRPr="00082FDB">
              <w:rPr>
                <w:b/>
                <w:noProof/>
                <w:sz w:val="24"/>
                <w:szCs w:val="24"/>
              </w:rPr>
              <w:t>Sistemas informáticos Abiertos (4,5 cr) (2do Sem)</w:t>
            </w:r>
            <w:r w:rsidRPr="00082FDB">
              <w:rPr>
                <w:b/>
                <w:noProof/>
                <w:sz w:val="24"/>
                <w:szCs w:val="24"/>
              </w:rPr>
              <w:tab/>
              <w:t>Por</w:t>
            </w:r>
            <w:r w:rsidRPr="00082FDB">
              <w:rPr>
                <w:b/>
                <w:noProof/>
                <w:sz w:val="24"/>
                <w:szCs w:val="24"/>
              </w:rPr>
              <w:tab/>
              <w:t>Analítica de Big Data (4,5 ECTS) (1er Sem)</w:t>
            </w:r>
          </w:p>
          <w:p w:rsidR="00082FDB" w:rsidRPr="00082FDB" w:rsidRDefault="00082FDB" w:rsidP="00082FDB">
            <w:pPr>
              <w:jc w:val="both"/>
              <w:rPr>
                <w:b/>
                <w:noProof/>
                <w:sz w:val="24"/>
                <w:szCs w:val="24"/>
              </w:rPr>
            </w:pPr>
            <w:r w:rsidRPr="00082FDB">
              <w:rPr>
                <w:b/>
                <w:noProof/>
                <w:sz w:val="24"/>
                <w:szCs w:val="24"/>
              </w:rPr>
              <w:t>Métodos avanzados de verificación y validación del software (6cr) (1er Sem)</w:t>
            </w:r>
            <w:r w:rsidRPr="00082FDB">
              <w:rPr>
                <w:b/>
                <w:noProof/>
                <w:sz w:val="24"/>
                <w:szCs w:val="24"/>
              </w:rPr>
              <w:tab/>
              <w:t>Por</w:t>
            </w:r>
            <w:r w:rsidRPr="00082FDB">
              <w:rPr>
                <w:b/>
                <w:noProof/>
                <w:sz w:val="24"/>
                <w:szCs w:val="24"/>
              </w:rPr>
              <w:tab/>
              <w:t>Prueba de Software en la Industria (6 ECTS) (1er Sem)</w:t>
            </w:r>
          </w:p>
          <w:p w:rsidR="0046358E" w:rsidRPr="00C46EC1" w:rsidRDefault="00082FDB" w:rsidP="000332CA">
            <w:pPr>
              <w:jc w:val="both"/>
              <w:rPr>
                <w:sz w:val="20"/>
                <w:szCs w:val="20"/>
              </w:rPr>
            </w:pPr>
            <w:r w:rsidRPr="00082FDB">
              <w:rPr>
                <w:b/>
                <w:noProof/>
                <w:sz w:val="24"/>
                <w:szCs w:val="24"/>
              </w:rPr>
              <w:t>Modelado y Diseño de Componentes y Servicios (6cr) (1er Sem)</w:t>
            </w:r>
            <w:r w:rsidRPr="00082FDB">
              <w:rPr>
                <w:b/>
                <w:noProof/>
                <w:sz w:val="24"/>
                <w:szCs w:val="24"/>
              </w:rPr>
              <w:tab/>
              <w:t>Por</w:t>
            </w:r>
            <w:r w:rsidRPr="00082FDB">
              <w:rPr>
                <w:b/>
                <w:noProof/>
                <w:sz w:val="24"/>
                <w:szCs w:val="24"/>
              </w:rPr>
              <w:tab/>
              <w:t>Smart Data: sistemas y aplicaciones (6 ECTS) (2do Sem)</w:t>
            </w:r>
            <w:r w:rsidR="0046358E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332CA" w:rsidRPr="000332CA" w:rsidRDefault="0046358E" w:rsidP="000332CA">
            <w:pPr>
              <w:jc w:val="both"/>
              <w:rPr>
                <w:b/>
                <w:noProof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0332CA" w:rsidRPr="000332CA">
              <w:rPr>
                <w:b/>
                <w:noProof/>
                <w:sz w:val="24"/>
                <w:szCs w:val="24"/>
              </w:rPr>
              <w:t>Cambiar el nombre y parte del contenido de la asignatura de:</w:t>
            </w:r>
          </w:p>
          <w:p w:rsidR="000332CA" w:rsidRPr="000332CA" w:rsidRDefault="000332CA" w:rsidP="000332CA">
            <w:pPr>
              <w:jc w:val="both"/>
              <w:rPr>
                <w:b/>
                <w:noProof/>
                <w:sz w:val="24"/>
                <w:szCs w:val="24"/>
              </w:rPr>
            </w:pPr>
            <w:r w:rsidRPr="000332CA">
              <w:rPr>
                <w:b/>
                <w:noProof/>
                <w:sz w:val="24"/>
                <w:szCs w:val="24"/>
              </w:rPr>
              <w:t>Ingeniería de Procesos software y Servicios (4,5) (2do Sem)</w:t>
            </w:r>
            <w:r w:rsidRPr="000332CA">
              <w:rPr>
                <w:b/>
                <w:noProof/>
                <w:sz w:val="24"/>
                <w:szCs w:val="24"/>
              </w:rPr>
              <w:tab/>
              <w:t>Por</w:t>
            </w:r>
            <w:r w:rsidRPr="000332CA">
              <w:rPr>
                <w:b/>
                <w:noProof/>
                <w:sz w:val="24"/>
                <w:szCs w:val="24"/>
              </w:rPr>
              <w:tab/>
              <w:t>Transformación Digital de Procesos (6 ECTS) (2do Sem)</w:t>
            </w:r>
          </w:p>
          <w:p w:rsidR="000332CA" w:rsidRPr="000332CA" w:rsidRDefault="000332CA" w:rsidP="000332CA">
            <w:pPr>
              <w:jc w:val="both"/>
              <w:rPr>
                <w:b/>
                <w:noProof/>
                <w:sz w:val="24"/>
                <w:szCs w:val="24"/>
              </w:rPr>
            </w:pPr>
            <w:r w:rsidRPr="000332CA">
              <w:rPr>
                <w:b/>
                <w:noProof/>
                <w:sz w:val="24"/>
                <w:szCs w:val="24"/>
              </w:rPr>
              <w:t>Ingeniería de Información y Aplicaciones (6 cr) (1er Sem)</w:t>
            </w:r>
            <w:r w:rsidRPr="000332CA">
              <w:rPr>
                <w:b/>
                <w:noProof/>
                <w:sz w:val="24"/>
                <w:szCs w:val="24"/>
              </w:rPr>
              <w:tab/>
              <w:t>Por</w:t>
            </w:r>
            <w:r w:rsidRPr="000332CA">
              <w:rPr>
                <w:b/>
                <w:noProof/>
                <w:sz w:val="24"/>
                <w:szCs w:val="24"/>
              </w:rPr>
              <w:tab/>
              <w:t>Interacción y Experiencia del Usuario (4,5 ECTS) (2do Sem)</w:t>
            </w:r>
          </w:p>
          <w:p w:rsidR="0046358E" w:rsidRPr="00916AF6" w:rsidRDefault="000332CA" w:rsidP="000332CA">
            <w:pPr>
              <w:jc w:val="both"/>
              <w:rPr>
                <w:sz w:val="20"/>
                <w:szCs w:val="20"/>
              </w:rPr>
            </w:pPr>
            <w:r w:rsidRPr="000332CA">
              <w:rPr>
                <w:b/>
                <w:noProof/>
                <w:sz w:val="24"/>
                <w:szCs w:val="24"/>
              </w:rPr>
              <w:t>Gestión en I+D+I en ingeniería (6 ECTS)</w:t>
            </w:r>
            <w:r w:rsidRPr="000332CA">
              <w:rPr>
                <w:b/>
                <w:noProof/>
                <w:sz w:val="24"/>
                <w:szCs w:val="24"/>
              </w:rPr>
              <w:tab/>
              <w:t>Por</w:t>
            </w:r>
            <w:r w:rsidRPr="000332CA">
              <w:rPr>
                <w:b/>
                <w:noProof/>
                <w:sz w:val="24"/>
                <w:szCs w:val="24"/>
              </w:rPr>
              <w:tab/>
              <w:t>Proyectos de I+D+i (6 ECTS)</w:t>
            </w:r>
            <w:r w:rsidR="0046358E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332CA" w:rsidRPr="000332CA" w:rsidRDefault="0046358E" w:rsidP="000332CA">
            <w:pPr>
              <w:jc w:val="both"/>
              <w:rPr>
                <w:b/>
                <w:noProof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0332CA" w:rsidRPr="000332CA">
              <w:rPr>
                <w:b/>
                <w:noProof/>
                <w:sz w:val="24"/>
                <w:szCs w:val="24"/>
              </w:rPr>
              <w:t>Cambiar el nombre y parte del contenido de la asignatura de:</w:t>
            </w:r>
          </w:p>
          <w:p w:rsidR="000332CA" w:rsidRPr="000332CA" w:rsidRDefault="000332CA" w:rsidP="000332CA">
            <w:pPr>
              <w:jc w:val="both"/>
              <w:rPr>
                <w:b/>
                <w:noProof/>
                <w:sz w:val="24"/>
                <w:szCs w:val="24"/>
              </w:rPr>
            </w:pPr>
            <w:r w:rsidRPr="000332CA">
              <w:rPr>
                <w:b/>
                <w:noProof/>
                <w:sz w:val="24"/>
                <w:szCs w:val="24"/>
              </w:rPr>
              <w:t>Procesamiento estadístico de Datos y señales en Instrumentos electrónicos de Medida inteligentes</w:t>
            </w:r>
            <w:r w:rsidRPr="000332CA">
              <w:rPr>
                <w:b/>
                <w:noProof/>
                <w:sz w:val="24"/>
                <w:szCs w:val="24"/>
              </w:rPr>
              <w:tab/>
              <w:t>Por</w:t>
            </w:r>
            <w:r w:rsidRPr="000332CA">
              <w:rPr>
                <w:b/>
                <w:noProof/>
                <w:sz w:val="24"/>
                <w:szCs w:val="24"/>
              </w:rPr>
              <w:tab/>
              <w:t>Instrumentación computacional inteligente</w:t>
            </w:r>
          </w:p>
          <w:p w:rsidR="0046358E" w:rsidRPr="00916AF6" w:rsidRDefault="000332CA" w:rsidP="000332CA">
            <w:pPr>
              <w:jc w:val="both"/>
              <w:rPr>
                <w:sz w:val="20"/>
                <w:szCs w:val="20"/>
              </w:rPr>
            </w:pPr>
            <w:r w:rsidRPr="000332CA">
              <w:rPr>
                <w:b/>
                <w:noProof/>
                <w:sz w:val="24"/>
                <w:szCs w:val="24"/>
              </w:rPr>
              <w:t>Neuroinformática y Biorrobótica</w:t>
            </w:r>
            <w:r w:rsidRPr="000332CA">
              <w:rPr>
                <w:b/>
                <w:noProof/>
                <w:sz w:val="24"/>
                <w:szCs w:val="24"/>
              </w:rPr>
              <w:tab/>
              <w:t>Por</w:t>
            </w:r>
            <w:r w:rsidRPr="000332CA">
              <w:rPr>
                <w:b/>
                <w:noProof/>
                <w:sz w:val="24"/>
                <w:szCs w:val="24"/>
              </w:rPr>
              <w:tab/>
              <w:t>Ingeniería Neuromórfica</w:t>
            </w:r>
            <w:r w:rsidR="0046358E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0332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0332CA" w:rsidRPr="000332CA">
              <w:rPr>
                <w:b/>
                <w:noProof/>
                <w:sz w:val="24"/>
                <w:szCs w:val="24"/>
              </w:rPr>
              <w:t>Cambiar parte del contenido de la asignatura Sistemas Ubicuos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9E1B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E1BFC">
              <w:rPr>
                <w:b/>
                <w:noProof/>
                <w:sz w:val="24"/>
                <w:szCs w:val="24"/>
              </w:rPr>
              <w:t xml:space="preserve">Cambiar la </w:t>
            </w:r>
            <w:r w:rsidR="009E1BFC" w:rsidRPr="009E1BFC">
              <w:rPr>
                <w:b/>
                <w:noProof/>
                <w:sz w:val="24"/>
                <w:szCs w:val="24"/>
              </w:rPr>
              <w:t>asignatura Gestión en I+D+I en ingeniería (6 ECTS)</w:t>
            </w:r>
            <w:r w:rsidR="009E1BFC">
              <w:rPr>
                <w:b/>
                <w:noProof/>
                <w:sz w:val="24"/>
                <w:szCs w:val="24"/>
              </w:rPr>
              <w:t>del 1er Semestre al 2º Semestre</w:t>
            </w:r>
            <w:r w:rsidR="009E1BFC" w:rsidRPr="009E1BFC">
              <w:rPr>
                <w:b/>
                <w:noProof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9E1B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9E1B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9E1B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9E1B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C53671">
        <w:trPr>
          <w:trHeight w:val="80"/>
          <w:jc w:val="center"/>
        </w:trPr>
        <w:tc>
          <w:tcPr>
            <w:tcW w:w="0" w:type="auto"/>
            <w:vAlign w:val="center"/>
          </w:tcPr>
          <w:p w:rsidR="0046358E" w:rsidRDefault="0046358E" w:rsidP="004635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358E" w:rsidRPr="00916AF6" w:rsidRDefault="0046358E" w:rsidP="009E1B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 w:rsidR="009E1BFC"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6. PERSONAL ACADÉMICO</w:t>
            </w:r>
          </w:p>
        </w:tc>
      </w:tr>
      <w:tr w:rsidR="009E1BFC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 Profesorado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6.2 Otros recursos humanos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7. RECURSOS MATERIALES Y SERVICIOS</w:t>
            </w:r>
          </w:p>
        </w:tc>
      </w:tr>
      <w:tr w:rsidR="009E1BFC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Justificación de que los medios materiales son adecuados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8. RESULTADOS PREVISTOS</w:t>
            </w:r>
          </w:p>
        </w:tc>
      </w:tr>
      <w:tr w:rsidR="009E1BFC" w:rsidTr="00AC7FE3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 Estimación de resultados con valores cuantitativos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 Procedimiento general para valorar el progreso y los resultados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9. SISTEMA DE GARANTÍA DE CALIDAD</w:t>
            </w:r>
          </w:p>
        </w:tc>
      </w:tr>
      <w:tr w:rsidR="009E1BFC" w:rsidTr="00D0470B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 Sistema de Garantía de Calidad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4C17BF" w:rsidRDefault="0046358E" w:rsidP="0046358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10. CALENDARIO DE IMPLANTACIÓN</w:t>
            </w:r>
          </w:p>
        </w:tc>
      </w:tr>
      <w:tr w:rsidR="009E1BFC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 Cronograma de Implantación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74307">
        <w:trPr>
          <w:jc w:val="center"/>
        </w:trPr>
        <w:tc>
          <w:tcPr>
            <w:tcW w:w="0" w:type="auto"/>
            <w:vAlign w:val="center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10.2 Procedimiento de adaptación 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9E1BFC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Enseñanzas que se extinguen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46358E" w:rsidTr="00D0470B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46358E" w:rsidRPr="0097025E" w:rsidRDefault="0046358E" w:rsidP="0046358E">
            <w:pPr>
              <w:rPr>
                <w:b/>
                <w:sz w:val="20"/>
                <w:szCs w:val="20"/>
              </w:rPr>
            </w:pPr>
            <w:r w:rsidRPr="0097025E">
              <w:rPr>
                <w:b/>
                <w:sz w:val="20"/>
                <w:szCs w:val="20"/>
              </w:rPr>
              <w:t xml:space="preserve">11. PERSONAS </w:t>
            </w:r>
            <w:r>
              <w:rPr>
                <w:b/>
                <w:sz w:val="20"/>
                <w:szCs w:val="20"/>
              </w:rPr>
              <w:t>ASOCIADAS A</w:t>
            </w:r>
            <w:r w:rsidRPr="0097025E">
              <w:rPr>
                <w:b/>
                <w:sz w:val="20"/>
                <w:szCs w:val="20"/>
              </w:rPr>
              <w:t xml:space="preserve"> LA SOLICTUD</w:t>
            </w:r>
          </w:p>
        </w:tc>
      </w:tr>
      <w:tr w:rsidR="009E1BFC" w:rsidTr="00D0470B">
        <w:trPr>
          <w:jc w:val="center"/>
        </w:trPr>
        <w:tc>
          <w:tcPr>
            <w:tcW w:w="0" w:type="auto"/>
          </w:tcPr>
          <w:p w:rsidR="0046358E" w:rsidRPr="004C17BF" w:rsidRDefault="0046358E" w:rsidP="00463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  Responsable del Título</w:t>
            </w:r>
          </w:p>
        </w:tc>
        <w:tc>
          <w:tcPr>
            <w:tcW w:w="0" w:type="auto"/>
          </w:tcPr>
          <w:p w:rsidR="0046358E" w:rsidRPr="00914745" w:rsidRDefault="0046358E" w:rsidP="004635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387BA7" w:rsidRDefault="00387BA7"/>
    <w:sectPr w:rsidR="00387BA7" w:rsidSect="00080FC0">
      <w:headerReference w:type="default" r:id="rId7"/>
      <w:pgSz w:w="16838" w:h="11906" w:orient="landscape"/>
      <w:pgMar w:top="1304" w:right="1134" w:bottom="1304" w:left="1134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4A3" w:rsidRDefault="000254A3">
      <w:pPr>
        <w:spacing w:after="0" w:line="240" w:lineRule="auto"/>
      </w:pPr>
      <w:r>
        <w:separator/>
      </w:r>
    </w:p>
  </w:endnote>
  <w:endnote w:type="continuationSeparator" w:id="0">
    <w:p w:rsidR="000254A3" w:rsidRDefault="00025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4A3" w:rsidRDefault="000254A3">
      <w:pPr>
        <w:spacing w:after="0" w:line="240" w:lineRule="auto"/>
      </w:pPr>
      <w:r>
        <w:separator/>
      </w:r>
    </w:p>
  </w:footnote>
  <w:footnote w:type="continuationSeparator" w:id="0">
    <w:p w:rsidR="000254A3" w:rsidRDefault="00025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099" w:type="dxa"/>
      <w:jc w:val="center"/>
      <w:tblBorders>
        <w:insideH w:val="single" w:sz="4" w:space="0" w:color="F38F1D"/>
        <w:insideV w:val="single" w:sz="4" w:space="0" w:color="F38F1D"/>
      </w:tblBorders>
      <w:tblLook w:val="04A0" w:firstRow="1" w:lastRow="0" w:firstColumn="1" w:lastColumn="0" w:noHBand="0" w:noVBand="1"/>
    </w:tblPr>
    <w:tblGrid>
      <w:gridCol w:w="4085"/>
      <w:gridCol w:w="5428"/>
      <w:gridCol w:w="3586"/>
    </w:tblGrid>
    <w:tr w:rsidR="00142E2A" w:rsidRPr="00142E2A" w:rsidTr="00142E2A">
      <w:trPr>
        <w:trHeight w:val="1702"/>
        <w:jc w:val="center"/>
      </w:trPr>
      <w:tc>
        <w:tcPr>
          <w:tcW w:w="4085" w:type="dxa"/>
          <w:shd w:val="clear" w:color="auto" w:fill="auto"/>
          <w:vAlign w:val="center"/>
        </w:tcPr>
        <w:p w:rsidR="00142E2A" w:rsidRPr="00142E2A" w:rsidRDefault="004A6CC9" w:rsidP="00142E2A">
          <w:pPr>
            <w:spacing w:after="0" w:line="240" w:lineRule="auto"/>
            <w:ind w:firstLine="708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142E2A">
            <w:rPr>
              <w:rFonts w:ascii="Calibri" w:eastAsia="Times New Roman" w:hAnsi="Calibri" w:cs="Times New Roman"/>
              <w:noProof/>
              <w:szCs w:val="24"/>
              <w:lang w:val="es-ES_tradnl" w:eastAsia="es-ES_tradnl"/>
            </w:rPr>
            <w:drawing>
              <wp:anchor distT="0" distB="0" distL="114300" distR="114300" simplePos="0" relativeHeight="251659264" behindDoc="0" locked="0" layoutInCell="1" allowOverlap="1" wp14:anchorId="6A21FF7D" wp14:editId="35534943">
                <wp:simplePos x="0" y="0"/>
                <wp:positionH relativeFrom="column">
                  <wp:posOffset>140335</wp:posOffset>
                </wp:positionH>
                <wp:positionV relativeFrom="paragraph">
                  <wp:posOffset>91440</wp:posOffset>
                </wp:positionV>
                <wp:extent cx="1673860" cy="702310"/>
                <wp:effectExtent l="0" t="0" r="2540" b="254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860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428" w:type="dxa"/>
          <w:shd w:val="clear" w:color="auto" w:fill="auto"/>
          <w:vAlign w:val="center"/>
        </w:tcPr>
        <w:p w:rsidR="00142E2A" w:rsidRPr="00142E2A" w:rsidRDefault="004A6CC9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 xml:space="preserve">Vicerrectorado de </w:t>
          </w:r>
          <w:r w:rsidR="006F5BE5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>Planificación</w:t>
          </w:r>
        </w:p>
        <w:p w:rsidR="00142E2A" w:rsidRPr="00142E2A" w:rsidRDefault="000254A3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6"/>
              <w:szCs w:val="26"/>
              <w:lang w:eastAsia="es-ES"/>
            </w:rPr>
          </w:pPr>
        </w:p>
        <w:p w:rsidR="00142E2A" w:rsidRPr="00142E2A" w:rsidRDefault="00033416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</w:pPr>
          <w:r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  <w:t>Servicio de Gestión de la Calidad y Títulos</w:t>
          </w:r>
        </w:p>
        <w:p w:rsidR="00142E2A" w:rsidRPr="00142E2A" w:rsidRDefault="000254A3" w:rsidP="00142E2A">
          <w:pPr>
            <w:spacing w:after="0" w:line="240" w:lineRule="auto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</w:tc>
      <w:tc>
        <w:tcPr>
          <w:tcW w:w="3586" w:type="dxa"/>
          <w:shd w:val="clear" w:color="auto" w:fill="auto"/>
          <w:vAlign w:val="center"/>
        </w:tcPr>
        <w:p w:rsidR="006F5BE5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Hospital Real</w:t>
          </w:r>
        </w:p>
        <w:p w:rsidR="00142E2A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Plaza Falla, nº 8</w:t>
          </w:r>
          <w:r w:rsidR="004A6CC9"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, 11002 Cádiz</w:t>
          </w:r>
        </w:p>
        <w:p w:rsidR="006F5BE5" w:rsidRPr="00142E2A" w:rsidRDefault="006F5BE5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  <w:p w:rsidR="00142E2A" w:rsidRPr="00142E2A" w:rsidRDefault="004A6CC9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Tlf:956015093</w:t>
          </w:r>
        </w:p>
        <w:p w:rsidR="00142E2A" w:rsidRPr="00142E2A" w:rsidRDefault="004A6CC9" w:rsidP="0046358E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E-mail: evaluacion@uca.es</w:t>
          </w:r>
        </w:p>
      </w:tc>
    </w:tr>
  </w:tbl>
  <w:p w:rsidR="00BA6834" w:rsidRDefault="000254A3" w:rsidP="00080F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AEA"/>
    <w:multiLevelType w:val="hybridMultilevel"/>
    <w:tmpl w:val="B03434E0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880563"/>
    <w:multiLevelType w:val="hybridMultilevel"/>
    <w:tmpl w:val="CDEC93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CD281B"/>
    <w:multiLevelType w:val="hybridMultilevel"/>
    <w:tmpl w:val="B43AAA1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25019A"/>
    <w:multiLevelType w:val="hybridMultilevel"/>
    <w:tmpl w:val="FE7CA4DA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51D8"/>
    <w:multiLevelType w:val="hybridMultilevel"/>
    <w:tmpl w:val="31B446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F7166"/>
    <w:multiLevelType w:val="hybridMultilevel"/>
    <w:tmpl w:val="6DEEB0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D578E3"/>
    <w:multiLevelType w:val="hybridMultilevel"/>
    <w:tmpl w:val="24646B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E75A2F"/>
    <w:multiLevelType w:val="hybridMultilevel"/>
    <w:tmpl w:val="F1DE890E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cumentProtection w:edit="forms" w:enforcement="1" w:cryptProviderType="rsaAES" w:cryptAlgorithmClass="hash" w:cryptAlgorithmType="typeAny" w:cryptAlgorithmSid="14" w:cryptSpinCount="100000" w:hash="I3/ASNv2fXCY9pSFkZenoprqfnN7U1aSf+0kFxlqEOREucAm5QmU7w8mbXqVDBWY2ovurO47hLOXCcGk2bINnQ==" w:salt="GH8WYiId6axdXH3r3mKFr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9A"/>
    <w:rsid w:val="00020A42"/>
    <w:rsid w:val="000254A3"/>
    <w:rsid w:val="000309E0"/>
    <w:rsid w:val="000332CA"/>
    <w:rsid w:val="00033416"/>
    <w:rsid w:val="000338A3"/>
    <w:rsid w:val="00052413"/>
    <w:rsid w:val="00082FDB"/>
    <w:rsid w:val="00096BB0"/>
    <w:rsid w:val="000C5192"/>
    <w:rsid w:val="000E167F"/>
    <w:rsid w:val="000F48CE"/>
    <w:rsid w:val="00130C5C"/>
    <w:rsid w:val="00241848"/>
    <w:rsid w:val="002C2A0E"/>
    <w:rsid w:val="002D269A"/>
    <w:rsid w:val="002F28AF"/>
    <w:rsid w:val="00387BA7"/>
    <w:rsid w:val="00393C72"/>
    <w:rsid w:val="00397041"/>
    <w:rsid w:val="003B3E48"/>
    <w:rsid w:val="00455F6A"/>
    <w:rsid w:val="0046358E"/>
    <w:rsid w:val="00473C12"/>
    <w:rsid w:val="0048022F"/>
    <w:rsid w:val="00485175"/>
    <w:rsid w:val="004A6CC9"/>
    <w:rsid w:val="004E1E83"/>
    <w:rsid w:val="0053446A"/>
    <w:rsid w:val="005E5C45"/>
    <w:rsid w:val="005F2145"/>
    <w:rsid w:val="00630450"/>
    <w:rsid w:val="00684614"/>
    <w:rsid w:val="006C1DD2"/>
    <w:rsid w:val="006F5BE5"/>
    <w:rsid w:val="007133C8"/>
    <w:rsid w:val="00734B37"/>
    <w:rsid w:val="00752FD5"/>
    <w:rsid w:val="007735BD"/>
    <w:rsid w:val="007760AE"/>
    <w:rsid w:val="0078241E"/>
    <w:rsid w:val="008D51BC"/>
    <w:rsid w:val="00916AF6"/>
    <w:rsid w:val="009B734C"/>
    <w:rsid w:val="009E1BFC"/>
    <w:rsid w:val="009E1E4B"/>
    <w:rsid w:val="00A32CFE"/>
    <w:rsid w:val="00AA65D4"/>
    <w:rsid w:val="00AC7FE3"/>
    <w:rsid w:val="00B320C4"/>
    <w:rsid w:val="00B81E91"/>
    <w:rsid w:val="00BE5C4D"/>
    <w:rsid w:val="00BF3CB8"/>
    <w:rsid w:val="00C46EC1"/>
    <w:rsid w:val="00C53671"/>
    <w:rsid w:val="00C55F68"/>
    <w:rsid w:val="00C72B38"/>
    <w:rsid w:val="00C831C5"/>
    <w:rsid w:val="00CB1E23"/>
    <w:rsid w:val="00D74307"/>
    <w:rsid w:val="00E4676D"/>
    <w:rsid w:val="00E55561"/>
    <w:rsid w:val="00E74803"/>
    <w:rsid w:val="00E837AD"/>
    <w:rsid w:val="00EB0252"/>
    <w:rsid w:val="00F6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2A6488-DCEC-4632-AE20-7B76F488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6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D269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26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69A"/>
  </w:style>
  <w:style w:type="paragraph" w:customStyle="1" w:styleId="ColorfulList-Accent11">
    <w:name w:val="Colorful List - Accent 11"/>
    <w:basedOn w:val="Normal"/>
    <w:rsid w:val="002D26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rrafodelista2">
    <w:name w:val="Párrafo de lista2"/>
    <w:basedOn w:val="Normal"/>
    <w:uiPriority w:val="99"/>
    <w:rsid w:val="00D74307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EC1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6F5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Mila</cp:lastModifiedBy>
  <cp:revision>2</cp:revision>
  <cp:lastPrinted>2014-07-24T09:23:00Z</cp:lastPrinted>
  <dcterms:created xsi:type="dcterms:W3CDTF">2018-08-01T09:39:00Z</dcterms:created>
  <dcterms:modified xsi:type="dcterms:W3CDTF">2018-08-01T09:39:00Z</dcterms:modified>
</cp:coreProperties>
</file>